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D050" w14:textId="76A30A74" w:rsidR="008273C8" w:rsidRPr="008273C8" w:rsidRDefault="00F66F01" w:rsidP="008273C8">
      <w:pPr>
        <w:rPr>
          <w:b/>
          <w:bCs/>
          <w:sz w:val="22"/>
          <w:szCs w:val="22"/>
        </w:rPr>
      </w:pPr>
      <w:r w:rsidRPr="008273C8">
        <w:rPr>
          <w:b/>
          <w:bCs/>
          <w:sz w:val="22"/>
          <w:szCs w:val="22"/>
        </w:rPr>
        <w:t xml:space="preserve">Winners Recruitment </w:t>
      </w:r>
      <w:r w:rsidR="008273C8" w:rsidRPr="008273C8">
        <w:rPr>
          <w:b/>
          <w:bCs/>
          <w:sz w:val="22"/>
          <w:szCs w:val="22"/>
        </w:rPr>
        <w:t>Equality and Diversity Policy</w:t>
      </w:r>
    </w:p>
    <w:p w14:paraId="01F41402" w14:textId="77777777" w:rsidR="008273C8" w:rsidRPr="008273C8" w:rsidRDefault="008273C8" w:rsidP="008273C8">
      <w:pPr>
        <w:rPr>
          <w:b/>
          <w:bCs/>
          <w:sz w:val="22"/>
          <w:szCs w:val="22"/>
        </w:rPr>
      </w:pPr>
      <w:r w:rsidRPr="008273C8">
        <w:rPr>
          <w:b/>
          <w:bCs/>
          <w:sz w:val="22"/>
          <w:szCs w:val="22"/>
        </w:rPr>
        <w:t>1. Policy Statement</w:t>
      </w:r>
    </w:p>
    <w:p w14:paraId="0BB03F09" w14:textId="77777777" w:rsidR="008273C8" w:rsidRPr="008273C8" w:rsidRDefault="008273C8" w:rsidP="008273C8">
      <w:pPr>
        <w:rPr>
          <w:sz w:val="22"/>
          <w:szCs w:val="22"/>
        </w:rPr>
      </w:pPr>
      <w:r w:rsidRPr="008273C8">
        <w:rPr>
          <w:sz w:val="22"/>
          <w:szCs w:val="22"/>
        </w:rPr>
        <w:t>Winners Recruitment is committed to promoting equality, diversity, and inclusion across all aspects of our business. We believe that every individual should have equal opportunities in the workplace, free from discrimination, harassment, or victimisation. Our aim is to create an inclusive culture where differences are valued, respected, and celebrated, ensuring fair treatment for all candidates, clients, and employees.</w:t>
      </w:r>
    </w:p>
    <w:p w14:paraId="036EF97E" w14:textId="77777777" w:rsidR="008273C8" w:rsidRPr="008273C8" w:rsidRDefault="008273C8" w:rsidP="008273C8">
      <w:pPr>
        <w:rPr>
          <w:b/>
          <w:bCs/>
          <w:sz w:val="22"/>
          <w:szCs w:val="22"/>
        </w:rPr>
      </w:pPr>
      <w:r w:rsidRPr="008273C8">
        <w:rPr>
          <w:b/>
          <w:bCs/>
          <w:sz w:val="22"/>
          <w:szCs w:val="22"/>
        </w:rPr>
        <w:t>2. Scope</w:t>
      </w:r>
    </w:p>
    <w:p w14:paraId="53660A3D" w14:textId="77777777" w:rsidR="008273C8" w:rsidRPr="008273C8" w:rsidRDefault="008273C8" w:rsidP="008273C8">
      <w:pPr>
        <w:rPr>
          <w:sz w:val="22"/>
          <w:szCs w:val="22"/>
        </w:rPr>
      </w:pPr>
      <w:r w:rsidRPr="008273C8">
        <w:rPr>
          <w:sz w:val="22"/>
          <w:szCs w:val="22"/>
        </w:rPr>
        <w:t>This policy applies to:</w:t>
      </w:r>
    </w:p>
    <w:p w14:paraId="0CA3AEF1" w14:textId="77777777" w:rsidR="008273C8" w:rsidRPr="008273C8" w:rsidRDefault="008273C8" w:rsidP="008273C8">
      <w:pPr>
        <w:numPr>
          <w:ilvl w:val="0"/>
          <w:numId w:val="1"/>
        </w:numPr>
        <w:rPr>
          <w:sz w:val="22"/>
          <w:szCs w:val="22"/>
        </w:rPr>
      </w:pPr>
      <w:r w:rsidRPr="008273C8">
        <w:rPr>
          <w:sz w:val="22"/>
          <w:szCs w:val="22"/>
        </w:rPr>
        <w:t>All employees of Winners Recruitment.</w:t>
      </w:r>
    </w:p>
    <w:p w14:paraId="7E7B0BE5" w14:textId="77777777" w:rsidR="008273C8" w:rsidRPr="008273C8" w:rsidRDefault="008273C8" w:rsidP="008273C8">
      <w:pPr>
        <w:numPr>
          <w:ilvl w:val="0"/>
          <w:numId w:val="1"/>
        </w:numPr>
        <w:rPr>
          <w:sz w:val="22"/>
          <w:szCs w:val="22"/>
        </w:rPr>
      </w:pPr>
      <w:r w:rsidRPr="008273C8">
        <w:rPr>
          <w:sz w:val="22"/>
          <w:szCs w:val="22"/>
        </w:rPr>
        <w:t>All candidates registered with our agency.</w:t>
      </w:r>
    </w:p>
    <w:p w14:paraId="518440CF" w14:textId="77777777" w:rsidR="008273C8" w:rsidRPr="008273C8" w:rsidRDefault="008273C8" w:rsidP="008273C8">
      <w:pPr>
        <w:numPr>
          <w:ilvl w:val="0"/>
          <w:numId w:val="1"/>
        </w:numPr>
        <w:rPr>
          <w:sz w:val="22"/>
          <w:szCs w:val="22"/>
        </w:rPr>
      </w:pPr>
      <w:r w:rsidRPr="008273C8">
        <w:rPr>
          <w:sz w:val="22"/>
          <w:szCs w:val="22"/>
        </w:rPr>
        <w:t>All clients, suppliers, and partners we work with.</w:t>
      </w:r>
    </w:p>
    <w:p w14:paraId="59B71F56" w14:textId="77777777" w:rsidR="008273C8" w:rsidRPr="008273C8" w:rsidRDefault="008273C8" w:rsidP="008273C8">
      <w:pPr>
        <w:rPr>
          <w:sz w:val="22"/>
          <w:szCs w:val="22"/>
        </w:rPr>
      </w:pPr>
      <w:r w:rsidRPr="008273C8">
        <w:rPr>
          <w:sz w:val="22"/>
          <w:szCs w:val="22"/>
        </w:rPr>
        <w:t>It covers all areas of recruitment, selection, training, career development, pay, promotion, and service delivery.</w:t>
      </w:r>
    </w:p>
    <w:p w14:paraId="613A13C9" w14:textId="77777777" w:rsidR="008273C8" w:rsidRPr="008273C8" w:rsidRDefault="008273C8" w:rsidP="008273C8">
      <w:pPr>
        <w:rPr>
          <w:b/>
          <w:bCs/>
          <w:sz w:val="22"/>
          <w:szCs w:val="22"/>
        </w:rPr>
      </w:pPr>
      <w:r w:rsidRPr="008273C8">
        <w:rPr>
          <w:b/>
          <w:bCs/>
          <w:sz w:val="22"/>
          <w:szCs w:val="22"/>
        </w:rPr>
        <w:t>3. Our Commitments</w:t>
      </w:r>
    </w:p>
    <w:p w14:paraId="0C15F54B" w14:textId="77777777" w:rsidR="008273C8" w:rsidRPr="008273C8" w:rsidRDefault="008273C8" w:rsidP="008273C8">
      <w:pPr>
        <w:rPr>
          <w:sz w:val="22"/>
          <w:szCs w:val="22"/>
        </w:rPr>
      </w:pPr>
      <w:r w:rsidRPr="008273C8">
        <w:rPr>
          <w:sz w:val="22"/>
          <w:szCs w:val="22"/>
        </w:rPr>
        <w:t>Winners Recruitment will:</w:t>
      </w:r>
    </w:p>
    <w:p w14:paraId="416FE79B" w14:textId="77777777" w:rsidR="008273C8" w:rsidRPr="008273C8" w:rsidRDefault="008273C8" w:rsidP="008273C8">
      <w:pPr>
        <w:numPr>
          <w:ilvl w:val="0"/>
          <w:numId w:val="2"/>
        </w:numPr>
        <w:rPr>
          <w:sz w:val="22"/>
          <w:szCs w:val="22"/>
        </w:rPr>
      </w:pPr>
      <w:r w:rsidRPr="008273C8">
        <w:rPr>
          <w:sz w:val="22"/>
          <w:szCs w:val="22"/>
        </w:rPr>
        <w:t>Treat all individuals with dignity, respect, and fairness.</w:t>
      </w:r>
    </w:p>
    <w:p w14:paraId="7D150956" w14:textId="77777777" w:rsidR="008273C8" w:rsidRPr="008273C8" w:rsidRDefault="008273C8" w:rsidP="008273C8">
      <w:pPr>
        <w:numPr>
          <w:ilvl w:val="0"/>
          <w:numId w:val="2"/>
        </w:numPr>
        <w:rPr>
          <w:sz w:val="22"/>
          <w:szCs w:val="22"/>
        </w:rPr>
      </w:pPr>
      <w:r w:rsidRPr="008273C8">
        <w:rPr>
          <w:sz w:val="22"/>
          <w:szCs w:val="22"/>
        </w:rPr>
        <w:t>Ensure that recruitment and selection processes are based solely on skills, qualifications, and suitability for the role.</w:t>
      </w:r>
    </w:p>
    <w:p w14:paraId="2B1414E4" w14:textId="77777777" w:rsidR="008273C8" w:rsidRPr="008273C8" w:rsidRDefault="008273C8" w:rsidP="008273C8">
      <w:pPr>
        <w:numPr>
          <w:ilvl w:val="0"/>
          <w:numId w:val="2"/>
        </w:numPr>
        <w:rPr>
          <w:sz w:val="22"/>
          <w:szCs w:val="22"/>
        </w:rPr>
      </w:pPr>
      <w:r w:rsidRPr="008273C8">
        <w:rPr>
          <w:sz w:val="22"/>
          <w:szCs w:val="22"/>
        </w:rPr>
        <w:t>Provide equal access to job opportunities regardless of:</w:t>
      </w:r>
    </w:p>
    <w:p w14:paraId="3C7230FE" w14:textId="77777777" w:rsidR="008273C8" w:rsidRPr="008273C8" w:rsidRDefault="008273C8" w:rsidP="008273C8">
      <w:pPr>
        <w:numPr>
          <w:ilvl w:val="1"/>
          <w:numId w:val="2"/>
        </w:numPr>
        <w:rPr>
          <w:sz w:val="22"/>
          <w:szCs w:val="22"/>
        </w:rPr>
      </w:pPr>
      <w:r w:rsidRPr="008273C8">
        <w:rPr>
          <w:sz w:val="22"/>
          <w:szCs w:val="22"/>
        </w:rPr>
        <w:t>Age</w:t>
      </w:r>
    </w:p>
    <w:p w14:paraId="03CE42AA" w14:textId="77777777" w:rsidR="008273C8" w:rsidRPr="008273C8" w:rsidRDefault="008273C8" w:rsidP="008273C8">
      <w:pPr>
        <w:numPr>
          <w:ilvl w:val="1"/>
          <w:numId w:val="2"/>
        </w:numPr>
        <w:rPr>
          <w:sz w:val="22"/>
          <w:szCs w:val="22"/>
        </w:rPr>
      </w:pPr>
      <w:r w:rsidRPr="008273C8">
        <w:rPr>
          <w:sz w:val="22"/>
          <w:szCs w:val="22"/>
        </w:rPr>
        <w:t>Disability</w:t>
      </w:r>
    </w:p>
    <w:p w14:paraId="1AE024B0" w14:textId="77777777" w:rsidR="008273C8" w:rsidRPr="008273C8" w:rsidRDefault="008273C8" w:rsidP="008273C8">
      <w:pPr>
        <w:numPr>
          <w:ilvl w:val="1"/>
          <w:numId w:val="2"/>
        </w:numPr>
        <w:rPr>
          <w:sz w:val="22"/>
          <w:szCs w:val="22"/>
        </w:rPr>
      </w:pPr>
      <w:r w:rsidRPr="008273C8">
        <w:rPr>
          <w:sz w:val="22"/>
          <w:szCs w:val="22"/>
        </w:rPr>
        <w:t>Gender or gender reassignment</w:t>
      </w:r>
    </w:p>
    <w:p w14:paraId="23EC3EDE" w14:textId="77777777" w:rsidR="008273C8" w:rsidRPr="008273C8" w:rsidRDefault="008273C8" w:rsidP="008273C8">
      <w:pPr>
        <w:numPr>
          <w:ilvl w:val="1"/>
          <w:numId w:val="2"/>
        </w:numPr>
        <w:rPr>
          <w:sz w:val="22"/>
          <w:szCs w:val="22"/>
        </w:rPr>
      </w:pPr>
      <w:r w:rsidRPr="008273C8">
        <w:rPr>
          <w:sz w:val="22"/>
          <w:szCs w:val="22"/>
        </w:rPr>
        <w:t>Marriage or civil partnership</w:t>
      </w:r>
    </w:p>
    <w:p w14:paraId="393496B4" w14:textId="77777777" w:rsidR="008273C8" w:rsidRPr="008273C8" w:rsidRDefault="008273C8" w:rsidP="008273C8">
      <w:pPr>
        <w:numPr>
          <w:ilvl w:val="1"/>
          <w:numId w:val="2"/>
        </w:numPr>
        <w:rPr>
          <w:sz w:val="22"/>
          <w:szCs w:val="22"/>
        </w:rPr>
      </w:pPr>
      <w:r w:rsidRPr="008273C8">
        <w:rPr>
          <w:sz w:val="22"/>
          <w:szCs w:val="22"/>
        </w:rPr>
        <w:t>Pregnancy and maternity</w:t>
      </w:r>
    </w:p>
    <w:p w14:paraId="318638E1" w14:textId="77777777" w:rsidR="008273C8" w:rsidRPr="008273C8" w:rsidRDefault="008273C8" w:rsidP="008273C8">
      <w:pPr>
        <w:numPr>
          <w:ilvl w:val="1"/>
          <w:numId w:val="2"/>
        </w:numPr>
        <w:rPr>
          <w:sz w:val="22"/>
          <w:szCs w:val="22"/>
        </w:rPr>
      </w:pPr>
      <w:r w:rsidRPr="008273C8">
        <w:rPr>
          <w:sz w:val="22"/>
          <w:szCs w:val="22"/>
        </w:rPr>
        <w:t>Race, ethnicity, nationality, or cultural background</w:t>
      </w:r>
    </w:p>
    <w:p w14:paraId="0540E024" w14:textId="77777777" w:rsidR="008273C8" w:rsidRPr="008273C8" w:rsidRDefault="008273C8" w:rsidP="008273C8">
      <w:pPr>
        <w:numPr>
          <w:ilvl w:val="1"/>
          <w:numId w:val="2"/>
        </w:numPr>
        <w:rPr>
          <w:sz w:val="22"/>
          <w:szCs w:val="22"/>
        </w:rPr>
      </w:pPr>
      <w:r w:rsidRPr="008273C8">
        <w:rPr>
          <w:sz w:val="22"/>
          <w:szCs w:val="22"/>
        </w:rPr>
        <w:t>Religion or belief</w:t>
      </w:r>
    </w:p>
    <w:p w14:paraId="24E374BC" w14:textId="77777777" w:rsidR="008273C8" w:rsidRPr="008273C8" w:rsidRDefault="008273C8" w:rsidP="008273C8">
      <w:pPr>
        <w:numPr>
          <w:ilvl w:val="1"/>
          <w:numId w:val="2"/>
        </w:numPr>
        <w:rPr>
          <w:sz w:val="22"/>
          <w:szCs w:val="22"/>
        </w:rPr>
      </w:pPr>
      <w:r w:rsidRPr="008273C8">
        <w:rPr>
          <w:sz w:val="22"/>
          <w:szCs w:val="22"/>
        </w:rPr>
        <w:t>Sex</w:t>
      </w:r>
    </w:p>
    <w:p w14:paraId="450217DA" w14:textId="77777777" w:rsidR="008273C8" w:rsidRPr="008273C8" w:rsidRDefault="008273C8" w:rsidP="008273C8">
      <w:pPr>
        <w:numPr>
          <w:ilvl w:val="1"/>
          <w:numId w:val="2"/>
        </w:numPr>
        <w:rPr>
          <w:sz w:val="22"/>
          <w:szCs w:val="22"/>
        </w:rPr>
      </w:pPr>
      <w:r w:rsidRPr="008273C8">
        <w:rPr>
          <w:sz w:val="22"/>
          <w:szCs w:val="22"/>
        </w:rPr>
        <w:t>Sexual orientation</w:t>
      </w:r>
    </w:p>
    <w:p w14:paraId="7C59F1F0" w14:textId="77777777" w:rsidR="008273C8" w:rsidRPr="008273C8" w:rsidRDefault="008273C8" w:rsidP="008273C8">
      <w:pPr>
        <w:numPr>
          <w:ilvl w:val="0"/>
          <w:numId w:val="2"/>
        </w:numPr>
        <w:rPr>
          <w:sz w:val="22"/>
          <w:szCs w:val="22"/>
        </w:rPr>
      </w:pPr>
      <w:r w:rsidRPr="008273C8">
        <w:rPr>
          <w:sz w:val="22"/>
          <w:szCs w:val="22"/>
        </w:rPr>
        <w:t>Challenge and eliminate unlawful discrimination wherever it is identified.</w:t>
      </w:r>
    </w:p>
    <w:p w14:paraId="21A38C09" w14:textId="77777777" w:rsidR="008273C8" w:rsidRPr="008273C8" w:rsidRDefault="008273C8" w:rsidP="008273C8">
      <w:pPr>
        <w:numPr>
          <w:ilvl w:val="0"/>
          <w:numId w:val="2"/>
        </w:numPr>
        <w:rPr>
          <w:sz w:val="22"/>
          <w:szCs w:val="22"/>
        </w:rPr>
      </w:pPr>
      <w:r w:rsidRPr="008273C8">
        <w:rPr>
          <w:sz w:val="22"/>
          <w:szCs w:val="22"/>
        </w:rPr>
        <w:lastRenderedPageBreak/>
        <w:t>Promote inclusive employment practices by working closely with partners such as local Job Centres, Reed in Partnership, and Disability Cornwall employers.</w:t>
      </w:r>
    </w:p>
    <w:p w14:paraId="1A3FF4E3" w14:textId="77777777" w:rsidR="008273C8" w:rsidRPr="008273C8" w:rsidRDefault="008273C8" w:rsidP="008273C8">
      <w:pPr>
        <w:numPr>
          <w:ilvl w:val="0"/>
          <w:numId w:val="2"/>
        </w:numPr>
        <w:rPr>
          <w:sz w:val="22"/>
          <w:szCs w:val="22"/>
        </w:rPr>
      </w:pPr>
      <w:r w:rsidRPr="008273C8">
        <w:rPr>
          <w:sz w:val="22"/>
          <w:szCs w:val="22"/>
        </w:rPr>
        <w:t>Support individuals facing barriers to employment by providing tailored guidance, mentoring, and fair access to opportunities.</w:t>
      </w:r>
    </w:p>
    <w:p w14:paraId="22A2641C" w14:textId="77777777" w:rsidR="008273C8" w:rsidRPr="008273C8" w:rsidRDefault="008273C8" w:rsidP="008273C8">
      <w:pPr>
        <w:rPr>
          <w:b/>
          <w:bCs/>
          <w:sz w:val="22"/>
          <w:szCs w:val="22"/>
        </w:rPr>
      </w:pPr>
      <w:r w:rsidRPr="008273C8">
        <w:rPr>
          <w:b/>
          <w:bCs/>
          <w:sz w:val="22"/>
          <w:szCs w:val="22"/>
        </w:rPr>
        <w:t>4. Responsibilities</w:t>
      </w:r>
    </w:p>
    <w:p w14:paraId="4AE75020" w14:textId="77777777" w:rsidR="008273C8" w:rsidRPr="008273C8" w:rsidRDefault="008273C8" w:rsidP="008273C8">
      <w:pPr>
        <w:numPr>
          <w:ilvl w:val="0"/>
          <w:numId w:val="3"/>
        </w:numPr>
        <w:rPr>
          <w:sz w:val="22"/>
          <w:szCs w:val="22"/>
        </w:rPr>
      </w:pPr>
      <w:r w:rsidRPr="008273C8">
        <w:rPr>
          <w:b/>
          <w:bCs/>
          <w:sz w:val="22"/>
          <w:szCs w:val="22"/>
        </w:rPr>
        <w:t>Management</w:t>
      </w:r>
      <w:r w:rsidRPr="008273C8">
        <w:rPr>
          <w:sz w:val="22"/>
          <w:szCs w:val="22"/>
        </w:rPr>
        <w:t>: Ensure this policy is implemented, communicated, and reviewed regularly.</w:t>
      </w:r>
    </w:p>
    <w:p w14:paraId="26F9C02E" w14:textId="77777777" w:rsidR="008273C8" w:rsidRPr="008273C8" w:rsidRDefault="008273C8" w:rsidP="008273C8">
      <w:pPr>
        <w:numPr>
          <w:ilvl w:val="0"/>
          <w:numId w:val="3"/>
        </w:numPr>
        <w:rPr>
          <w:sz w:val="22"/>
          <w:szCs w:val="22"/>
        </w:rPr>
      </w:pPr>
      <w:r w:rsidRPr="008273C8">
        <w:rPr>
          <w:b/>
          <w:bCs/>
          <w:sz w:val="22"/>
          <w:szCs w:val="22"/>
        </w:rPr>
        <w:t>Employees</w:t>
      </w:r>
      <w:r w:rsidRPr="008273C8">
        <w:rPr>
          <w:sz w:val="22"/>
          <w:szCs w:val="22"/>
        </w:rPr>
        <w:t>: Treat colleagues, candidates, and clients with respect, following the principles of this policy.</w:t>
      </w:r>
    </w:p>
    <w:p w14:paraId="564E7568" w14:textId="77777777" w:rsidR="008273C8" w:rsidRPr="008273C8" w:rsidRDefault="008273C8" w:rsidP="008273C8">
      <w:pPr>
        <w:numPr>
          <w:ilvl w:val="0"/>
          <w:numId w:val="3"/>
        </w:numPr>
        <w:rPr>
          <w:sz w:val="22"/>
          <w:szCs w:val="22"/>
        </w:rPr>
      </w:pPr>
      <w:r w:rsidRPr="008273C8">
        <w:rPr>
          <w:b/>
          <w:bCs/>
          <w:sz w:val="22"/>
          <w:szCs w:val="22"/>
        </w:rPr>
        <w:t>Recruitment Consultants</w:t>
      </w:r>
      <w:r w:rsidRPr="008273C8">
        <w:rPr>
          <w:sz w:val="22"/>
          <w:szCs w:val="22"/>
        </w:rPr>
        <w:t>: Apply inclusive and non-discriminatory practices when shortlisting and interviewing candidates.</w:t>
      </w:r>
    </w:p>
    <w:p w14:paraId="1AFB08AD" w14:textId="77777777" w:rsidR="008273C8" w:rsidRPr="008273C8" w:rsidRDefault="008273C8" w:rsidP="008273C8">
      <w:pPr>
        <w:numPr>
          <w:ilvl w:val="0"/>
          <w:numId w:val="3"/>
        </w:numPr>
        <w:rPr>
          <w:sz w:val="22"/>
          <w:szCs w:val="22"/>
        </w:rPr>
      </w:pPr>
      <w:r w:rsidRPr="008273C8">
        <w:rPr>
          <w:b/>
          <w:bCs/>
          <w:sz w:val="22"/>
          <w:szCs w:val="22"/>
        </w:rPr>
        <w:t>Clients</w:t>
      </w:r>
      <w:r w:rsidRPr="008273C8">
        <w:rPr>
          <w:sz w:val="22"/>
          <w:szCs w:val="22"/>
        </w:rPr>
        <w:t>: Encouraged to uphold the same standards when engaging with our candidates.</w:t>
      </w:r>
    </w:p>
    <w:p w14:paraId="2B888BEC" w14:textId="77777777" w:rsidR="008273C8" w:rsidRPr="008273C8" w:rsidRDefault="008273C8" w:rsidP="008273C8">
      <w:pPr>
        <w:rPr>
          <w:b/>
          <w:bCs/>
          <w:sz w:val="22"/>
          <w:szCs w:val="22"/>
        </w:rPr>
      </w:pPr>
      <w:r w:rsidRPr="008273C8">
        <w:rPr>
          <w:b/>
          <w:bCs/>
          <w:sz w:val="22"/>
          <w:szCs w:val="22"/>
        </w:rPr>
        <w:t>5. Implementation</w:t>
      </w:r>
    </w:p>
    <w:p w14:paraId="306CA39E" w14:textId="77777777" w:rsidR="008273C8" w:rsidRPr="008273C8" w:rsidRDefault="008273C8" w:rsidP="008273C8">
      <w:pPr>
        <w:rPr>
          <w:sz w:val="22"/>
          <w:szCs w:val="22"/>
        </w:rPr>
      </w:pPr>
      <w:r w:rsidRPr="008273C8">
        <w:rPr>
          <w:sz w:val="22"/>
          <w:szCs w:val="22"/>
        </w:rPr>
        <w:t>To ensure our commitments are met, Winners Recruitment will:</w:t>
      </w:r>
    </w:p>
    <w:p w14:paraId="52CDB7CB" w14:textId="77777777" w:rsidR="008273C8" w:rsidRPr="008273C8" w:rsidRDefault="008273C8" w:rsidP="008273C8">
      <w:pPr>
        <w:numPr>
          <w:ilvl w:val="0"/>
          <w:numId w:val="4"/>
        </w:numPr>
        <w:rPr>
          <w:sz w:val="22"/>
          <w:szCs w:val="22"/>
        </w:rPr>
      </w:pPr>
      <w:r w:rsidRPr="008273C8">
        <w:rPr>
          <w:sz w:val="22"/>
          <w:szCs w:val="22"/>
        </w:rPr>
        <w:t>Provide training for staff on equality, diversity, and unconscious bias.</w:t>
      </w:r>
    </w:p>
    <w:p w14:paraId="3910C6F4" w14:textId="77777777" w:rsidR="008273C8" w:rsidRPr="008273C8" w:rsidRDefault="008273C8" w:rsidP="008273C8">
      <w:pPr>
        <w:numPr>
          <w:ilvl w:val="0"/>
          <w:numId w:val="4"/>
        </w:numPr>
        <w:rPr>
          <w:sz w:val="22"/>
          <w:szCs w:val="22"/>
        </w:rPr>
      </w:pPr>
      <w:r w:rsidRPr="008273C8">
        <w:rPr>
          <w:sz w:val="22"/>
          <w:szCs w:val="22"/>
        </w:rPr>
        <w:t>Monitor recruitment practices and outcomes to identify and address potential inequalities.</w:t>
      </w:r>
    </w:p>
    <w:p w14:paraId="53AD612C" w14:textId="77777777" w:rsidR="008273C8" w:rsidRPr="008273C8" w:rsidRDefault="008273C8" w:rsidP="008273C8">
      <w:pPr>
        <w:numPr>
          <w:ilvl w:val="0"/>
          <w:numId w:val="4"/>
        </w:numPr>
        <w:rPr>
          <w:sz w:val="22"/>
          <w:szCs w:val="22"/>
        </w:rPr>
      </w:pPr>
      <w:r w:rsidRPr="008273C8">
        <w:rPr>
          <w:sz w:val="22"/>
          <w:szCs w:val="22"/>
        </w:rPr>
        <w:t>Work with local organisations, including disability support groups and community partners, to improve access to employment.</w:t>
      </w:r>
    </w:p>
    <w:p w14:paraId="3D75A95B" w14:textId="77777777" w:rsidR="008273C8" w:rsidRPr="008273C8" w:rsidRDefault="008273C8" w:rsidP="008273C8">
      <w:pPr>
        <w:numPr>
          <w:ilvl w:val="0"/>
          <w:numId w:val="4"/>
        </w:numPr>
        <w:rPr>
          <w:sz w:val="22"/>
          <w:szCs w:val="22"/>
        </w:rPr>
      </w:pPr>
      <w:r w:rsidRPr="008273C8">
        <w:rPr>
          <w:sz w:val="22"/>
          <w:szCs w:val="22"/>
        </w:rPr>
        <w:t>Make reasonable adjustments to accommodate candidates and employees with disabilities.</w:t>
      </w:r>
    </w:p>
    <w:p w14:paraId="65EECFC3" w14:textId="77777777" w:rsidR="008273C8" w:rsidRPr="008273C8" w:rsidRDefault="008273C8" w:rsidP="008273C8">
      <w:pPr>
        <w:numPr>
          <w:ilvl w:val="0"/>
          <w:numId w:val="4"/>
        </w:numPr>
        <w:rPr>
          <w:sz w:val="22"/>
          <w:szCs w:val="22"/>
        </w:rPr>
      </w:pPr>
      <w:r w:rsidRPr="008273C8">
        <w:rPr>
          <w:sz w:val="22"/>
          <w:szCs w:val="22"/>
        </w:rPr>
        <w:t>Provide clear channels for raising concerns regarding discrimination, harassment, or unfair treatment.</w:t>
      </w:r>
    </w:p>
    <w:p w14:paraId="15A56587" w14:textId="77777777" w:rsidR="008273C8" w:rsidRPr="008273C8" w:rsidRDefault="008273C8" w:rsidP="008273C8">
      <w:pPr>
        <w:rPr>
          <w:b/>
          <w:bCs/>
          <w:sz w:val="22"/>
          <w:szCs w:val="22"/>
        </w:rPr>
      </w:pPr>
      <w:r w:rsidRPr="008273C8">
        <w:rPr>
          <w:b/>
          <w:bCs/>
          <w:sz w:val="22"/>
          <w:szCs w:val="22"/>
        </w:rPr>
        <w:t>6. Fundraising and Community Engagement</w:t>
      </w:r>
    </w:p>
    <w:p w14:paraId="05349EEC" w14:textId="77777777" w:rsidR="008273C8" w:rsidRPr="008273C8" w:rsidRDefault="008273C8" w:rsidP="008273C8">
      <w:pPr>
        <w:rPr>
          <w:sz w:val="22"/>
          <w:szCs w:val="22"/>
        </w:rPr>
      </w:pPr>
      <w:r w:rsidRPr="008273C8">
        <w:rPr>
          <w:sz w:val="22"/>
          <w:szCs w:val="22"/>
        </w:rPr>
        <w:t xml:space="preserve">We recognise that equality and diversity extend beyond recruitment. Winners Recruitment actively supports local charities such as the </w:t>
      </w:r>
      <w:r w:rsidRPr="008273C8">
        <w:rPr>
          <w:b/>
          <w:bCs/>
          <w:sz w:val="22"/>
          <w:szCs w:val="22"/>
        </w:rPr>
        <w:t>Sunrise Centre</w:t>
      </w:r>
      <w:r w:rsidRPr="008273C8">
        <w:rPr>
          <w:sz w:val="22"/>
          <w:szCs w:val="22"/>
        </w:rPr>
        <w:t xml:space="preserve"> and </w:t>
      </w:r>
      <w:r w:rsidRPr="008273C8">
        <w:rPr>
          <w:b/>
          <w:bCs/>
          <w:sz w:val="22"/>
          <w:szCs w:val="22"/>
        </w:rPr>
        <w:t>Hospice Cares</w:t>
      </w:r>
      <w:r w:rsidRPr="008273C8">
        <w:rPr>
          <w:sz w:val="22"/>
          <w:szCs w:val="22"/>
        </w:rPr>
        <w:t xml:space="preserve"> through annual fundraising events, strengthening community support and inclusion.</w:t>
      </w:r>
    </w:p>
    <w:p w14:paraId="4EC18406" w14:textId="77777777" w:rsidR="008273C8" w:rsidRPr="008273C8" w:rsidRDefault="008273C8" w:rsidP="008273C8">
      <w:pPr>
        <w:rPr>
          <w:b/>
          <w:bCs/>
          <w:sz w:val="22"/>
          <w:szCs w:val="22"/>
        </w:rPr>
      </w:pPr>
      <w:r w:rsidRPr="008273C8">
        <w:rPr>
          <w:b/>
          <w:bCs/>
          <w:sz w:val="22"/>
          <w:szCs w:val="22"/>
        </w:rPr>
        <w:t>7. Review</w:t>
      </w:r>
    </w:p>
    <w:p w14:paraId="70F2AE2C" w14:textId="77777777" w:rsidR="008273C8" w:rsidRPr="008273C8" w:rsidRDefault="008273C8" w:rsidP="008273C8">
      <w:pPr>
        <w:rPr>
          <w:sz w:val="22"/>
          <w:szCs w:val="22"/>
        </w:rPr>
      </w:pPr>
      <w:r w:rsidRPr="008273C8">
        <w:rPr>
          <w:sz w:val="22"/>
          <w:szCs w:val="22"/>
        </w:rPr>
        <w:t>This policy will be reviewed annually to ensure it remains relevant, effective, and compliant with UK Equality Act 2010 legislation and best practice guidance.</w:t>
      </w:r>
    </w:p>
    <w:p w14:paraId="0A7405AC" w14:textId="77777777" w:rsidR="008273C8" w:rsidRPr="008273C8" w:rsidRDefault="008273C8">
      <w:pPr>
        <w:rPr>
          <w:sz w:val="22"/>
          <w:szCs w:val="22"/>
        </w:rPr>
      </w:pPr>
    </w:p>
    <w:sectPr w:rsidR="008273C8" w:rsidRPr="008273C8" w:rsidSect="008273C8">
      <w:headerReference w:type="default" r:id="rId7"/>
      <w:pgSz w:w="11906" w:h="16838"/>
      <w:pgMar w:top="993" w:right="849"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ED50" w14:textId="77777777" w:rsidR="008273C8" w:rsidRDefault="008273C8" w:rsidP="008273C8">
      <w:pPr>
        <w:spacing w:after="0" w:line="240" w:lineRule="auto"/>
      </w:pPr>
      <w:r>
        <w:separator/>
      </w:r>
    </w:p>
  </w:endnote>
  <w:endnote w:type="continuationSeparator" w:id="0">
    <w:p w14:paraId="47A75054" w14:textId="77777777" w:rsidR="008273C8" w:rsidRDefault="008273C8" w:rsidP="0082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F50E" w14:textId="77777777" w:rsidR="008273C8" w:rsidRDefault="008273C8" w:rsidP="008273C8">
      <w:pPr>
        <w:spacing w:after="0" w:line="240" w:lineRule="auto"/>
      </w:pPr>
      <w:r>
        <w:separator/>
      </w:r>
    </w:p>
  </w:footnote>
  <w:footnote w:type="continuationSeparator" w:id="0">
    <w:p w14:paraId="2A460E1B" w14:textId="77777777" w:rsidR="008273C8" w:rsidRDefault="008273C8" w:rsidP="0082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54D3" w14:textId="41A674C4" w:rsidR="008273C8" w:rsidRDefault="008273C8" w:rsidP="008273C8">
    <w:pPr>
      <w:pStyle w:val="Header"/>
      <w:jc w:val="center"/>
    </w:pPr>
    <w:r>
      <w:rPr>
        <w:noProof/>
      </w:rPr>
      <w:drawing>
        <wp:inline distT="0" distB="0" distL="0" distR="0" wp14:anchorId="29DA6057" wp14:editId="2C356403">
          <wp:extent cx="3267075" cy="790526"/>
          <wp:effectExtent l="0" t="0" r="0" b="0"/>
          <wp:docPr id="38091708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68405"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73531" cy="792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F06"/>
    <w:multiLevelType w:val="multilevel"/>
    <w:tmpl w:val="8466D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55A78"/>
    <w:multiLevelType w:val="multilevel"/>
    <w:tmpl w:val="F37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E11AA"/>
    <w:multiLevelType w:val="multilevel"/>
    <w:tmpl w:val="D858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B4D84"/>
    <w:multiLevelType w:val="multilevel"/>
    <w:tmpl w:val="EDB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860326">
    <w:abstractNumId w:val="2"/>
  </w:num>
  <w:num w:numId="2" w16cid:durableId="797138455">
    <w:abstractNumId w:val="0"/>
  </w:num>
  <w:num w:numId="3" w16cid:durableId="1515069519">
    <w:abstractNumId w:val="3"/>
  </w:num>
  <w:num w:numId="4" w16cid:durableId="1537960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C8"/>
    <w:rsid w:val="0035029A"/>
    <w:rsid w:val="008273C8"/>
    <w:rsid w:val="00F6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A50A3"/>
  <w15:chartTrackingRefBased/>
  <w15:docId w15:val="{2B238017-1595-49B1-BBFD-82519399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3C8"/>
    <w:rPr>
      <w:rFonts w:eastAsiaTheme="majorEastAsia" w:cstheme="majorBidi"/>
      <w:color w:val="272727" w:themeColor="text1" w:themeTint="D8"/>
    </w:rPr>
  </w:style>
  <w:style w:type="paragraph" w:styleId="Title">
    <w:name w:val="Title"/>
    <w:basedOn w:val="Normal"/>
    <w:next w:val="Normal"/>
    <w:link w:val="TitleChar"/>
    <w:uiPriority w:val="10"/>
    <w:qFormat/>
    <w:rsid w:val="00827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3C8"/>
    <w:pPr>
      <w:spacing w:before="160"/>
      <w:jc w:val="center"/>
    </w:pPr>
    <w:rPr>
      <w:i/>
      <w:iCs/>
      <w:color w:val="404040" w:themeColor="text1" w:themeTint="BF"/>
    </w:rPr>
  </w:style>
  <w:style w:type="character" w:customStyle="1" w:styleId="QuoteChar">
    <w:name w:val="Quote Char"/>
    <w:basedOn w:val="DefaultParagraphFont"/>
    <w:link w:val="Quote"/>
    <w:uiPriority w:val="29"/>
    <w:rsid w:val="008273C8"/>
    <w:rPr>
      <w:i/>
      <w:iCs/>
      <w:color w:val="404040" w:themeColor="text1" w:themeTint="BF"/>
    </w:rPr>
  </w:style>
  <w:style w:type="paragraph" w:styleId="ListParagraph">
    <w:name w:val="List Paragraph"/>
    <w:basedOn w:val="Normal"/>
    <w:uiPriority w:val="34"/>
    <w:qFormat/>
    <w:rsid w:val="008273C8"/>
    <w:pPr>
      <w:ind w:left="720"/>
      <w:contextualSpacing/>
    </w:pPr>
  </w:style>
  <w:style w:type="character" w:styleId="IntenseEmphasis">
    <w:name w:val="Intense Emphasis"/>
    <w:basedOn w:val="DefaultParagraphFont"/>
    <w:uiPriority w:val="21"/>
    <w:qFormat/>
    <w:rsid w:val="008273C8"/>
    <w:rPr>
      <w:i/>
      <w:iCs/>
      <w:color w:val="0F4761" w:themeColor="accent1" w:themeShade="BF"/>
    </w:rPr>
  </w:style>
  <w:style w:type="paragraph" w:styleId="IntenseQuote">
    <w:name w:val="Intense Quote"/>
    <w:basedOn w:val="Normal"/>
    <w:next w:val="Normal"/>
    <w:link w:val="IntenseQuoteChar"/>
    <w:uiPriority w:val="30"/>
    <w:qFormat/>
    <w:rsid w:val="00827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3C8"/>
    <w:rPr>
      <w:i/>
      <w:iCs/>
      <w:color w:val="0F4761" w:themeColor="accent1" w:themeShade="BF"/>
    </w:rPr>
  </w:style>
  <w:style w:type="character" w:styleId="IntenseReference">
    <w:name w:val="Intense Reference"/>
    <w:basedOn w:val="DefaultParagraphFont"/>
    <w:uiPriority w:val="32"/>
    <w:qFormat/>
    <w:rsid w:val="008273C8"/>
    <w:rPr>
      <w:b/>
      <w:bCs/>
      <w:smallCaps/>
      <w:color w:val="0F4761" w:themeColor="accent1" w:themeShade="BF"/>
      <w:spacing w:val="5"/>
    </w:rPr>
  </w:style>
  <w:style w:type="paragraph" w:styleId="Header">
    <w:name w:val="header"/>
    <w:basedOn w:val="Normal"/>
    <w:link w:val="HeaderChar"/>
    <w:uiPriority w:val="99"/>
    <w:unhideWhenUsed/>
    <w:rsid w:val="0082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3C8"/>
  </w:style>
  <w:style w:type="paragraph" w:styleId="Footer">
    <w:name w:val="footer"/>
    <w:basedOn w:val="Normal"/>
    <w:link w:val="FooterChar"/>
    <w:uiPriority w:val="99"/>
    <w:unhideWhenUsed/>
    <w:rsid w:val="0082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0276013CB004F9BC8F71DCB7F4217" ma:contentTypeVersion="18" ma:contentTypeDescription="Create a new document." ma:contentTypeScope="" ma:versionID="597301d9481bdde347c4e7e8fe5b7958">
  <xsd:schema xmlns:xsd="http://www.w3.org/2001/XMLSchema" xmlns:xs="http://www.w3.org/2001/XMLSchema" xmlns:p="http://schemas.microsoft.com/office/2006/metadata/properties" xmlns:ns2="910f2e88-ef87-48ef-8d99-fee050976343" xmlns:ns3="75b86f97-98a3-484e-a1f8-121fc4df90d1" targetNamespace="http://schemas.microsoft.com/office/2006/metadata/properties" ma:root="true" ma:fieldsID="08096c8ee2c0e0fda7a77a4a40bfab47" ns2:_="" ns3:_="">
    <xsd:import namespace="910f2e88-ef87-48ef-8d99-fee050976343"/>
    <xsd:import namespace="75b86f97-98a3-484e-a1f8-121fc4df90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2e88-ef87-48ef-8d99-fee050976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ca4425-8165-4fca-82c7-cc9d6ea26e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86f97-98a3-484e-a1f8-121fc4df9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220344-02c0-4a77-b963-f6e47a7b5167}" ma:internalName="TaxCatchAll" ma:showField="CatchAllData" ma:web="75b86f97-98a3-484e-a1f8-121fc4df9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b86f97-98a3-484e-a1f8-121fc4df90d1" xsi:nil="true"/>
    <lcf76f155ced4ddcb4097134ff3c332f xmlns="910f2e88-ef87-48ef-8d99-fee050976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823C77-6F41-41CB-A794-D49D60F99073}"/>
</file>

<file path=customXml/itemProps2.xml><?xml version="1.0" encoding="utf-8"?>
<ds:datastoreItem xmlns:ds="http://schemas.openxmlformats.org/officeDocument/2006/customXml" ds:itemID="{40D0EAA8-58DE-4A7F-A53E-AFAB657DC9E9}"/>
</file>

<file path=customXml/itemProps3.xml><?xml version="1.0" encoding="utf-8"?>
<ds:datastoreItem xmlns:ds="http://schemas.openxmlformats.org/officeDocument/2006/customXml" ds:itemID="{C6A83364-4243-4465-8942-B1D156FFFFA0}"/>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Lorton</dc:creator>
  <cp:keywords/>
  <dc:description/>
  <cp:lastModifiedBy>Stephanie Lorton</cp:lastModifiedBy>
  <cp:revision>2</cp:revision>
  <cp:lastPrinted>2025-08-29T13:12:00Z</cp:lastPrinted>
  <dcterms:created xsi:type="dcterms:W3CDTF">2025-08-29T13:09:00Z</dcterms:created>
  <dcterms:modified xsi:type="dcterms:W3CDTF">2025-08-29T13:24:00Z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0x01010076A0276013CB004F9BC8F71DCB7F4217</vt:lpwstr>
  </property>
</Properties>
</file>